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2E" w:rsidRPr="007D21AF" w:rsidRDefault="002D572E" w:rsidP="002D572E">
      <w:pPr>
        <w:pStyle w:val="Style1"/>
        <w:kinsoku w:val="0"/>
        <w:autoSpaceDE/>
        <w:autoSpaceDN/>
        <w:adjustRightInd/>
        <w:spacing w:before="468" w:line="208" w:lineRule="auto"/>
        <w:ind w:left="3096"/>
        <w:rPr>
          <w:bCs/>
          <w:spacing w:val="2"/>
          <w:w w:val="105"/>
          <w:lang w:val="es-ES" w:eastAsia="es-ES"/>
        </w:rPr>
      </w:pPr>
      <w:r>
        <w:rPr>
          <w:spacing w:val="2"/>
          <w:lang w:val="es-ES" w:eastAsia="es-ES"/>
        </w:rPr>
        <w:t xml:space="preserve">RESOLUCION N° </w:t>
      </w:r>
      <w:r w:rsidRPr="007D21AF">
        <w:rPr>
          <w:bCs/>
          <w:spacing w:val="2"/>
          <w:w w:val="105"/>
          <w:lang w:val="es-ES" w:eastAsia="es-ES"/>
        </w:rPr>
        <w:t>165 -02</w:t>
      </w:r>
    </w:p>
    <w:p w:rsidR="002D572E" w:rsidRDefault="002D572E" w:rsidP="002D572E">
      <w:pPr>
        <w:pStyle w:val="Style1"/>
        <w:kinsoku w:val="0"/>
        <w:autoSpaceDE/>
        <w:autoSpaceDN/>
        <w:adjustRightInd/>
        <w:spacing w:before="252"/>
        <w:ind w:right="85"/>
        <w:rPr>
          <w:spacing w:val="1"/>
          <w:lang w:val="es-ES" w:eastAsia="es-ES"/>
        </w:rPr>
      </w:pPr>
      <w:r>
        <w:rPr>
          <w:spacing w:val="4"/>
          <w:lang w:val="es-ES" w:eastAsia="es-ES"/>
        </w:rPr>
        <w:t xml:space="preserve">TRIBUNAL ADMINISTRATIVO DE TRANSPORTES. San José, a las catorce horas </w:t>
      </w:r>
      <w:r>
        <w:rPr>
          <w:spacing w:val="1"/>
          <w:lang w:val="es-ES" w:eastAsia="es-ES"/>
        </w:rPr>
        <w:t>quince minutos del veinticuatro de setiembre del dos mil dos.</w:t>
      </w:r>
    </w:p>
    <w:p w:rsidR="002D572E" w:rsidRPr="00920AA6" w:rsidRDefault="002D572E" w:rsidP="002D572E">
      <w:pPr>
        <w:pStyle w:val="Style3"/>
        <w:kinsoku w:val="0"/>
        <w:autoSpaceDE/>
        <w:autoSpaceDN/>
        <w:ind w:right="85"/>
        <w:rPr>
          <w:rStyle w:val="CharacterStyle1"/>
          <w:bCs/>
          <w:spacing w:val="-4"/>
          <w:w w:val="105"/>
          <w:lang w:val="es-ES" w:eastAsia="es-ES"/>
        </w:rPr>
      </w:pPr>
      <w:r>
        <w:rPr>
          <w:rStyle w:val="CharacterStyle1"/>
          <w:spacing w:val="-3"/>
          <w:lang w:val="es-ES" w:eastAsia="es-ES"/>
        </w:rPr>
        <w:t xml:space="preserve">Se conoce Nulidad Absoluta y contra el "Primer Procedimiento Especial Abreviado para el </w:t>
      </w:r>
      <w:r>
        <w:rPr>
          <w:rStyle w:val="CharacterStyle1"/>
          <w:spacing w:val="2"/>
          <w:lang w:val="es-ES" w:eastAsia="es-ES"/>
        </w:rPr>
        <w:t xml:space="preserve">transporte remunerado de personas en vehículos en la modalidad de taxi" presentado por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JUD, cédula de </w:t>
      </w:r>
      <w:proofErr w:type="gramStart"/>
      <w:r>
        <w:rPr>
          <w:rStyle w:val="CharacterStyle1"/>
          <w:b/>
          <w:bCs/>
          <w:spacing w:val="-2"/>
          <w:w w:val="105"/>
          <w:lang w:val="es-ES" w:eastAsia="es-ES"/>
        </w:rPr>
        <w:t>identidad …</w:t>
      </w:r>
      <w:proofErr w:type="gramEnd"/>
      <w:r>
        <w:rPr>
          <w:rStyle w:val="CharacterStyle1"/>
          <w:b/>
          <w:bCs/>
          <w:spacing w:val="-2"/>
          <w:w w:val="105"/>
          <w:lang w:val="es-ES" w:eastAsia="es-ES"/>
        </w:rPr>
        <w:t xml:space="preserve">., </w:t>
      </w:r>
      <w:r>
        <w:rPr>
          <w:rStyle w:val="CharacterStyle1"/>
          <w:spacing w:val="-2"/>
          <w:lang w:val="es-ES" w:eastAsia="es-ES"/>
        </w:rPr>
        <w:t xml:space="preserve">tramitado en este Despacho </w:t>
      </w:r>
      <w:r>
        <w:rPr>
          <w:rStyle w:val="CharacterStyle1"/>
          <w:spacing w:val="-4"/>
          <w:lang w:val="es-ES" w:eastAsia="es-ES"/>
        </w:rPr>
        <w:t xml:space="preserve">bajo </w:t>
      </w:r>
      <w:r w:rsidRPr="00920AA6">
        <w:rPr>
          <w:rStyle w:val="CharacterStyle1"/>
          <w:bCs/>
          <w:spacing w:val="-4"/>
          <w:w w:val="105"/>
          <w:lang w:val="es-ES" w:eastAsia="es-ES"/>
        </w:rPr>
        <w:t>el expediente número TAT-581-02.</w:t>
      </w:r>
    </w:p>
    <w:p w:rsidR="002D572E" w:rsidRDefault="002D572E" w:rsidP="002D572E">
      <w:pPr>
        <w:pStyle w:val="Style1"/>
        <w:kinsoku w:val="0"/>
        <w:autoSpaceDE/>
        <w:autoSpaceDN/>
        <w:adjustRightInd/>
        <w:spacing w:before="288" w:line="206" w:lineRule="auto"/>
        <w:ind w:left="3600" w:right="85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2D572E" w:rsidRDefault="002D572E" w:rsidP="002D572E">
      <w:pPr>
        <w:pStyle w:val="Style3"/>
        <w:kinsoku w:val="0"/>
        <w:autoSpaceDE/>
        <w:autoSpaceDN/>
        <w:ind w:right="85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11"/>
          <w:w w:val="105"/>
          <w:lang w:val="es-ES" w:eastAsia="es-ES"/>
        </w:rPr>
        <w:t xml:space="preserve">PRIMERO.- </w:t>
      </w:r>
      <w:r>
        <w:rPr>
          <w:rStyle w:val="CharacterStyle1"/>
          <w:spacing w:val="11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2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3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8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4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lang w:val="es-ES" w:eastAsia="es-ES"/>
        </w:rPr>
        <w:t>Transporte y se le otorga su competencia.</w:t>
      </w:r>
    </w:p>
    <w:p w:rsidR="002D572E" w:rsidRDefault="002D572E" w:rsidP="002D572E">
      <w:pPr>
        <w:pStyle w:val="Style3"/>
        <w:kinsoku w:val="0"/>
        <w:autoSpaceDE/>
        <w:autoSpaceDN/>
        <w:ind w:right="-142"/>
        <w:rPr>
          <w:rStyle w:val="CharacterStyle1"/>
          <w:spacing w:val="1"/>
          <w:lang w:val="es-ES" w:eastAsia="es-ES"/>
        </w:rPr>
      </w:pPr>
      <w:r>
        <w:rPr>
          <w:rStyle w:val="CharacterStyle1"/>
          <w:b/>
          <w:bCs/>
          <w:spacing w:val="3"/>
          <w:w w:val="105"/>
          <w:lang w:val="es-ES" w:eastAsia="es-ES"/>
        </w:rPr>
        <w:t xml:space="preserve">SEGUNDO: </w:t>
      </w:r>
      <w:r>
        <w:rPr>
          <w:rStyle w:val="CharacterStyle1"/>
          <w:spacing w:val="3"/>
          <w:lang w:val="es-ES" w:eastAsia="es-ES"/>
        </w:rPr>
        <w:t xml:space="preserve">El Consejo de Transporte Público, publicó en el Alcance 45 a La Gaceta </w:t>
      </w:r>
      <w:r>
        <w:rPr>
          <w:rStyle w:val="CharacterStyle1"/>
          <w:spacing w:val="12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7"/>
          <w:lang w:val="es-ES" w:eastAsia="es-ES"/>
        </w:rPr>
        <w:t xml:space="preserve">PROCEDIMIENTO ESPECIAL ABREVIADO PARA EL TRANSPORTE </w:t>
      </w:r>
      <w:r>
        <w:rPr>
          <w:rStyle w:val="CharacterStyle1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1"/>
          <w:lang w:val="es-ES" w:eastAsia="es-ES"/>
        </w:rPr>
        <w:t xml:space="preserve">mediante el cual somete a audiencia pública dicho proyecto </w:t>
      </w:r>
      <w:r w:rsidRPr="00CD606D">
        <w:rPr>
          <w:rStyle w:val="CharacterStyle1"/>
          <w:bCs/>
          <w:spacing w:val="1"/>
          <w:w w:val="105"/>
          <w:lang w:val="es-ES" w:eastAsia="es-ES"/>
        </w:rPr>
        <w:t xml:space="preserve">para </w:t>
      </w:r>
      <w:r w:rsidRPr="00CD606D">
        <w:rPr>
          <w:rStyle w:val="CharacterStyle1"/>
          <w:spacing w:val="1"/>
          <w:lang w:val="es-ES" w:eastAsia="es-ES"/>
        </w:rPr>
        <w:t xml:space="preserve">que en un plazo de diez días hábiles, quien a </w:t>
      </w:r>
      <w:r w:rsidRPr="00CD606D">
        <w:rPr>
          <w:rStyle w:val="CharacterStyle1"/>
          <w:bCs/>
          <w:spacing w:val="1"/>
          <w:w w:val="105"/>
          <w:lang w:val="es-ES" w:eastAsia="es-ES"/>
        </w:rPr>
        <w:t xml:space="preserve">bien lo </w:t>
      </w:r>
      <w:r w:rsidRPr="00CD606D">
        <w:rPr>
          <w:rStyle w:val="CharacterStyle1"/>
          <w:spacing w:val="1"/>
          <w:lang w:val="es-ES" w:eastAsia="es-ES"/>
        </w:rPr>
        <w:t xml:space="preserve">tenga, presente las objeciones </w:t>
      </w:r>
      <w:r w:rsidRPr="00CD606D">
        <w:rPr>
          <w:rStyle w:val="CharacterStyle1"/>
          <w:bCs/>
          <w:spacing w:val="1"/>
          <w:w w:val="105"/>
          <w:lang w:val="es-ES" w:eastAsia="es-ES"/>
        </w:rPr>
        <w:t>que</w:t>
      </w:r>
      <w:r>
        <w:rPr>
          <w:rStyle w:val="CharacterStyle1"/>
          <w:b/>
          <w:bCs/>
          <w:spacing w:val="1"/>
          <w:w w:val="105"/>
          <w:lang w:val="es-ES" w:eastAsia="es-ES"/>
        </w:rPr>
        <w:t xml:space="preserve"> </w:t>
      </w:r>
      <w:r w:rsidRPr="00CD606D">
        <w:rPr>
          <w:rStyle w:val="CharacterStyle1"/>
          <w:bCs/>
          <w:spacing w:val="1"/>
          <w:w w:val="105"/>
          <w:lang w:val="es-ES" w:eastAsia="es-ES"/>
        </w:rPr>
        <w:t>se</w:t>
      </w:r>
      <w:r>
        <w:rPr>
          <w:rStyle w:val="CharacterStyle1"/>
          <w:b/>
          <w:bCs/>
          <w:spacing w:val="1"/>
          <w:w w:val="105"/>
          <w:lang w:val="es-ES" w:eastAsia="es-ES"/>
        </w:rPr>
        <w:t xml:space="preserve"> </w:t>
      </w:r>
      <w:r>
        <w:rPr>
          <w:rStyle w:val="CharacterStyle1"/>
          <w:spacing w:val="1"/>
          <w:lang w:val="es-ES" w:eastAsia="es-ES"/>
        </w:rPr>
        <w:t>estime convenientes.</w:t>
      </w:r>
    </w:p>
    <w:p w:rsidR="002D572E" w:rsidRDefault="002D572E" w:rsidP="002D572E">
      <w:pPr>
        <w:pStyle w:val="Style1"/>
        <w:kinsoku w:val="0"/>
        <w:autoSpaceDE/>
        <w:autoSpaceDN/>
        <w:adjustRightInd/>
        <w:spacing w:before="216" w:after="396"/>
        <w:ind w:right="85"/>
        <w:jc w:val="both"/>
        <w:rPr>
          <w:lang w:val="es-ES" w:eastAsia="es-ES"/>
        </w:rPr>
      </w:pPr>
      <w:r>
        <w:rPr>
          <w:b/>
          <w:bCs/>
          <w:spacing w:val="9"/>
          <w:w w:val="105"/>
          <w:lang w:val="es-ES" w:eastAsia="es-ES"/>
        </w:rPr>
        <w:t xml:space="preserve">TERCERO: </w:t>
      </w:r>
      <w:r>
        <w:rPr>
          <w:spacing w:val="9"/>
          <w:lang w:val="es-ES" w:eastAsia="es-ES"/>
        </w:rPr>
        <w:t xml:space="preserve">Mediante </w:t>
      </w:r>
      <w:r w:rsidRPr="007D21AF">
        <w:rPr>
          <w:bCs/>
          <w:spacing w:val="9"/>
          <w:w w:val="105"/>
          <w:lang w:val="es-ES" w:eastAsia="es-ES"/>
        </w:rPr>
        <w:t xml:space="preserve">el </w:t>
      </w:r>
      <w:r>
        <w:rPr>
          <w:spacing w:val="9"/>
          <w:lang w:val="es-ES" w:eastAsia="es-ES"/>
        </w:rPr>
        <w:t xml:space="preserve">Decreto Ejecutivo N°28913-MOPT, publicado el 19 de </w:t>
      </w:r>
      <w:r>
        <w:rPr>
          <w:spacing w:val="2"/>
          <w:lang w:val="es-ES" w:eastAsia="es-ES"/>
        </w:rPr>
        <w:t xml:space="preserve">septiembre del 2000, el </w:t>
      </w:r>
      <w:r w:rsidRPr="007D21AF">
        <w:rPr>
          <w:bCs/>
          <w:spacing w:val="2"/>
          <w:w w:val="105"/>
          <w:lang w:val="es-ES" w:eastAsia="es-ES"/>
        </w:rPr>
        <w:t xml:space="preserve">Consejo </w:t>
      </w:r>
      <w:r>
        <w:rPr>
          <w:spacing w:val="2"/>
          <w:lang w:val="es-ES" w:eastAsia="es-ES"/>
        </w:rPr>
        <w:t xml:space="preserve">de Transporte Público, somete a licitación pública la </w:t>
      </w:r>
      <w:r>
        <w:rPr>
          <w:spacing w:val="14"/>
          <w:lang w:val="es-ES" w:eastAsia="es-ES"/>
        </w:rPr>
        <w:t xml:space="preserve">concesión del servicio público de taxi, según "REGLAMENTO DEL PRIMER </w:t>
      </w:r>
      <w:r>
        <w:rPr>
          <w:spacing w:val="27"/>
          <w:lang w:val="es-ES" w:eastAsia="es-ES"/>
        </w:rPr>
        <w:t xml:space="preserve">PROCEDIMIENTO ESPECIAL ABREVIADO PARA EL TRANSPORTE </w:t>
      </w:r>
      <w:r>
        <w:rPr>
          <w:spacing w:val="1"/>
          <w:lang w:val="es-ES" w:eastAsia="es-ES"/>
        </w:rPr>
        <w:t xml:space="preserve">REMUNERADO DE PERSONAS EN VEHICULOS EN LA MODALIDAD DE TAXI" </w:t>
      </w:r>
      <w:r>
        <w:rPr>
          <w:spacing w:val="13"/>
          <w:lang w:val="es-ES" w:eastAsia="es-ES"/>
        </w:rPr>
        <w:t xml:space="preserve">Además, en el numeral 15 establece que contra el acto de adjudicación de este </w:t>
      </w:r>
      <w:r>
        <w:rPr>
          <w:spacing w:val="1"/>
          <w:lang w:val="es-ES" w:eastAsia="es-ES"/>
        </w:rPr>
        <w:t xml:space="preserve">procedimiento caben los recursos ordinarios de revocatoria contra el órgano que emitió el </w:t>
      </w:r>
      <w:r>
        <w:rPr>
          <w:lang w:val="es-ES" w:eastAsia="es-ES"/>
        </w:rPr>
        <w:t>acto y el de apelación ante el Tribunal Administrativo de Transporte.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468"/>
        <w:ind w:right="85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CUARTO: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Mediante escrito presentado el 18 de junio </w:t>
      </w:r>
      <w:r w:rsidRPr="007D21AF">
        <w:rPr>
          <w:rStyle w:val="CharacterStyle3"/>
          <w:bCs/>
          <w:spacing w:val="1"/>
          <w:sz w:val="24"/>
          <w:szCs w:val="24"/>
          <w:lang w:val="es-ES" w:eastAsia="es-ES"/>
        </w:rPr>
        <w:t xml:space="preserve">del </w:t>
      </w:r>
      <w:r w:rsidRPr="007D21AF">
        <w:rPr>
          <w:rStyle w:val="CharacterStyle3"/>
          <w:spacing w:val="1"/>
          <w:w w:val="105"/>
          <w:sz w:val="24"/>
          <w:szCs w:val="24"/>
          <w:lang w:val="es-ES" w:eastAsia="es-ES"/>
        </w:rPr>
        <w:t>2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002, el </w:t>
      </w:r>
      <w:proofErr w:type="spellStart"/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 presenta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"nulidad absoluta contra el Primer Procedimiento Abreviado de Contratación para el </w:t>
      </w:r>
      <w:proofErr w:type="spellStart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concesionamiento</w:t>
      </w:r>
      <w:proofErr w:type="spellEnd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 de taxis." En el escrito de cita el </w:t>
      </w:r>
      <w:proofErr w:type="spellStart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 fundamenta la acción en los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artículos 4, 16, y 180 de la Ley General de la Administración Pública y los artículos 27,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lastRenderedPageBreak/>
        <w:t xml:space="preserve">28,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34, 39, 41, y 50 de la Constitución Política, y entra a argumentar los motivos de la nulidad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del procedimiento por cuanto ha sido excluido del concurso.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288" w:line="480" w:lineRule="auto"/>
        <w:ind w:right="85"/>
        <w:rPr>
          <w:rStyle w:val="CharacterStyle3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8"/>
          <w:sz w:val="24"/>
          <w:szCs w:val="24"/>
          <w:lang w:val="es-ES" w:eastAsia="es-ES"/>
        </w:rPr>
        <w:t xml:space="preserve">QUINTO: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En los procedimientos se han observado las prescripciones legales. 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288" w:line="480" w:lineRule="auto"/>
        <w:ind w:right="85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Méndez; y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180" w:line="206" w:lineRule="auto"/>
        <w:ind w:right="85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CONSIDERANDO: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216" w:after="108"/>
        <w:ind w:right="85"/>
        <w:jc w:val="both"/>
        <w:rPr>
          <w:rStyle w:val="CharacterStyle3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 xml:space="preserve">LA COMPETENCIA DEL TRIBUNAL: 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 xml:space="preserve">El Tribunal Administrativo de Transporte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asume la competencia de conocer los recursos de apelación que se presentan al Primer </w:t>
      </w: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t xml:space="preserve">Procedimiento Especial Abreviado para la concesión del servicio de Transporte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Remunerado de Personas en la Modalidad de Vehículos Taxi, por así resultar de la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integración del artículo 22 de la Ley Reguladora del Servicio Público de Transporte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spacing w:val="6"/>
          <w:w w:val="105"/>
          <w:sz w:val="24"/>
          <w:szCs w:val="24"/>
          <w:lang w:val="es-ES" w:eastAsia="es-ES"/>
        </w:rPr>
        <w:t xml:space="preserve">diciembre de 1999, en relación con el artículo 15 del Decreto No. 28913-MOPT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denominado "Reglamento del primer procedimiento especial abreviado para el transporte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remunerado de personas en vehículos en la modalidad de taxi" y sus reformas; así como la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resolución de la Contraloría General de la República No. RC-694-2001 de las nueve horas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con cuarenta y cinco minutos del trece de noviembre del 2001, el Tribunal Administrativo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de Transporte es el competente para conocer y resolver los recursos de apelación venidos </w:t>
      </w:r>
      <w:r>
        <w:rPr>
          <w:rStyle w:val="CharacterStyle3"/>
          <w:w w:val="105"/>
          <w:sz w:val="24"/>
          <w:szCs w:val="24"/>
          <w:lang w:val="es-ES" w:eastAsia="es-ES"/>
        </w:rPr>
        <w:t>en alzada.</w:t>
      </w:r>
    </w:p>
    <w:p w:rsidR="002D572E" w:rsidRDefault="002D572E" w:rsidP="002D572E">
      <w:pPr>
        <w:ind w:right="85"/>
        <w:jc w:val="center"/>
      </w:pPr>
    </w:p>
    <w:p w:rsidR="002D572E" w:rsidRDefault="002D572E" w:rsidP="002D572E">
      <w:pPr>
        <w:pStyle w:val="Style4"/>
        <w:kinsoku w:val="0"/>
        <w:autoSpaceDE/>
        <w:autoSpaceDN/>
        <w:adjustRightInd/>
        <w:ind w:right="85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Adicionalmente a esto debe tomarse en cuenta que el artículo 181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Administración Pública, señala textualmente lo siguiente: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180" w:after="288"/>
        <w:ind w:right="85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"Artículo 181.- El contralor no jerárquico podrá revisar sólo la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virtud de recurso </w:t>
      </w:r>
      <w:r>
        <w:rPr>
          <w:rStyle w:val="CharacterStyle3"/>
          <w:i/>
          <w:iCs/>
          <w:spacing w:val="4"/>
          <w:w w:val="105"/>
          <w:sz w:val="24"/>
          <w:szCs w:val="24"/>
          <w:lang w:val="es-ES" w:eastAsia="es-ES"/>
        </w:rPr>
        <w:t xml:space="preserve">administrativo,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y decidirá dentro del límite cuestiones de hecho planteadas por el recurrente, pero podrá aplicar una norma no </w:t>
      </w:r>
      <w:r>
        <w:rPr>
          <w:rStyle w:val="CharacterStyle3"/>
          <w:i/>
          <w:iCs/>
          <w:sz w:val="24"/>
          <w:szCs w:val="24"/>
          <w:lang w:val="es-ES" w:eastAsia="es-ES"/>
        </w:rPr>
        <w:t>invocada en el recurso."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after="36"/>
        <w:ind w:right="85"/>
        <w:jc w:val="both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>Del texto normativo</w:t>
      </w:r>
      <w:r w:rsidRPr="007D21AF"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, </w:t>
      </w:r>
      <w:r w:rsidRPr="007D21AF">
        <w:rPr>
          <w:rStyle w:val="CharacterStyle3"/>
          <w:bCs/>
          <w:spacing w:val="-8"/>
          <w:sz w:val="24"/>
          <w:szCs w:val="24"/>
          <w:lang w:val="es-ES" w:eastAsia="es-ES"/>
        </w:rPr>
        <w:t>podemos</w:t>
      </w:r>
      <w:r>
        <w:rPr>
          <w:rStyle w:val="CharacterStyle3"/>
          <w:b/>
          <w:bCs/>
          <w:spacing w:val="-8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extraer, que el Tribunal Administrativo de Transporte como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contralor no jerárquico, no podrá conocer sobre las gestiones que versen sobre nulidades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que no se presenten en forma conjunta con los recursos de apelación. Estas deberán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Alzada que </w:t>
      </w:r>
      <w:r w:rsidRPr="003022E8">
        <w:rPr>
          <w:rStyle w:val="CharacterStyle3"/>
          <w:i/>
          <w:spacing w:val="-6"/>
          <w:w w:val="105"/>
          <w:sz w:val="24"/>
          <w:szCs w:val="24"/>
          <w:lang w:val="es-ES" w:eastAsia="es-ES"/>
        </w:rPr>
        <w:t xml:space="preserve">permita </w:t>
      </w:r>
      <w:r w:rsidRPr="003022E8">
        <w:rPr>
          <w:rStyle w:val="CharacterStyle3"/>
          <w:bCs/>
          <w:i/>
          <w:spacing w:val="-6"/>
          <w:sz w:val="24"/>
          <w:szCs w:val="24"/>
          <w:lang w:val="es-ES" w:eastAsia="es-ES"/>
        </w:rPr>
        <w:t>habilitar</w:t>
      </w:r>
      <w:r w:rsidRPr="003022E8">
        <w:rPr>
          <w:rStyle w:val="CharacterStyle3"/>
          <w:bCs/>
          <w:spacing w:val="-6"/>
          <w:sz w:val="24"/>
          <w:szCs w:val="24"/>
          <w:lang w:val="es-ES" w:eastAsia="es-ES"/>
        </w:rPr>
        <w:t xml:space="preserve"> a</w:t>
      </w:r>
      <w:r>
        <w:rPr>
          <w:rStyle w:val="CharacterStyle3"/>
          <w:b/>
          <w:bCs/>
          <w:spacing w:val="-6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esta sede. En ese sentido el acto del Consejo de Transporte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Público que deniegue las nulidades alegadas sería objeto de los recursos que la normativa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vigente prevé.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396" w:line="265" w:lineRule="exact"/>
        <w:ind w:left="144" w:right="85"/>
        <w:jc w:val="both"/>
        <w:rPr>
          <w:rStyle w:val="CharacterStyle3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3"/>
          <w:w w:val="105"/>
          <w:sz w:val="24"/>
          <w:szCs w:val="24"/>
          <w:lang w:val="es-ES" w:eastAsia="es-ES"/>
        </w:rPr>
        <w:t>manifestó: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line="276" w:lineRule="exact"/>
        <w:ind w:left="144" w:right="85" w:firstLine="72"/>
        <w:jc w:val="both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lastRenderedPageBreak/>
        <w:t xml:space="preserve">" Que tal y como se ha </w:t>
      </w:r>
      <w:r>
        <w:rPr>
          <w:rStyle w:val="CharacterStyle3"/>
          <w:rFonts w:ascii="Bookman Old Style" w:hAnsi="Bookman Old Style" w:cs="Bookman Old Style"/>
          <w:i/>
          <w:iCs/>
          <w:spacing w:val="3"/>
          <w:sz w:val="24"/>
          <w:szCs w:val="24"/>
          <w:vertAlign w:val="superscript"/>
          <w:lang w:val="es-ES" w:eastAsia="es-ES"/>
        </w:rPr>
        <w:t>,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expuesto en otras resoluciones, tanto por disposición legal y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3"/>
          <w:i/>
          <w:iCs/>
          <w:spacing w:val="7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3"/>
          <w:i/>
          <w:iCs/>
          <w:spacing w:val="7"/>
          <w:sz w:val="24"/>
          <w:szCs w:val="24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3"/>
          <w:i/>
          <w:iCs/>
          <w:spacing w:val="7"/>
          <w:sz w:val="24"/>
          <w:szCs w:val="24"/>
          <w:lang w:val="es-ES" w:eastAsia="es-ES"/>
        </w:rPr>
        <w:t xml:space="preserve">apelación formal y oportunamente establecido ante la dependencia administrativa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jurídico, es decir el Tribunal asume la competencia revisora de cualquier acto, solamente en el caso de que contra él, se hubiere interpuesto recurso de apelación, ya que nos está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pero podrá aplicar una norma no invocada en el recurso."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180" w:line="265" w:lineRule="exact"/>
        <w:ind w:left="144" w:right="85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Las normas y jurisprudencia citadas, hacen concluir que la relación de normas hecha por el </w:t>
      </w:r>
      <w:proofErr w:type="spellStart"/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 en el escrito presentado, resultan inaplicables, razones suficientes para rechazar por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improcedente las nulidades presentadas, resultando inapropiado pronunciarse sobre 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fondo del asunto.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72" w:line="237" w:lineRule="exact"/>
        <w:ind w:left="3816" w:right="85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>POR TANTO:</w:t>
      </w:r>
    </w:p>
    <w:p w:rsidR="002D572E" w:rsidRDefault="002D572E" w:rsidP="002D572E">
      <w:pPr>
        <w:pStyle w:val="Style4"/>
        <w:kinsoku w:val="0"/>
        <w:autoSpaceDE/>
        <w:autoSpaceDN/>
        <w:adjustRightInd/>
        <w:spacing w:before="72" w:line="237" w:lineRule="exact"/>
        <w:ind w:left="3816" w:right="85"/>
        <w:rPr>
          <w:rStyle w:val="CharacterStyle3"/>
          <w:b/>
          <w:bCs/>
          <w:sz w:val="25"/>
          <w:szCs w:val="25"/>
          <w:lang w:val="es-ES" w:eastAsia="es-ES"/>
        </w:rPr>
      </w:pPr>
    </w:p>
    <w:p w:rsidR="002D572E" w:rsidRPr="007D21AF" w:rsidRDefault="002D572E" w:rsidP="002D572E">
      <w:pPr>
        <w:pStyle w:val="Style4"/>
        <w:numPr>
          <w:ilvl w:val="0"/>
          <w:numId w:val="1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16" w:line="255" w:lineRule="exact"/>
        <w:ind w:right="85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Se rechaza por </w:t>
      </w:r>
      <w:r w:rsidRPr="007D21AF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improcedente la </w:t>
      </w:r>
      <w:r w:rsidRPr="007D21AF"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Nulidad Absoluta interpuesta por el señor </w:t>
      </w:r>
      <w:r w:rsidRPr="007D21AF">
        <w:rPr>
          <w:rStyle w:val="CharacterStyle3"/>
          <w:bCs/>
          <w:spacing w:val="-8"/>
          <w:sz w:val="25"/>
          <w:szCs w:val="25"/>
          <w:lang w:val="es-ES" w:eastAsia="es-ES"/>
        </w:rPr>
        <w:t>JC</w:t>
      </w:r>
      <w:r w:rsidRPr="007D21AF">
        <w:rPr>
          <w:rStyle w:val="CharacterStyle3"/>
          <w:bCs/>
          <w:sz w:val="25"/>
          <w:szCs w:val="25"/>
          <w:lang w:val="es-ES" w:eastAsia="es-ES"/>
        </w:rPr>
        <w:t xml:space="preserve">UD, cédula de identidad …., CONTRA </w:t>
      </w:r>
      <w:r w:rsidRPr="007D21AF">
        <w:rPr>
          <w:rStyle w:val="CharacterStyle3"/>
          <w:w w:val="105"/>
          <w:sz w:val="24"/>
          <w:szCs w:val="24"/>
          <w:lang w:val="es-ES" w:eastAsia="es-ES"/>
        </w:rPr>
        <w:t xml:space="preserve">el Primer Procedimiento </w:t>
      </w:r>
      <w:r w:rsidRPr="007D21AF"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Especial Abreviado para la Concesión del Servicio de Transporte Público en la Modalidad </w:t>
      </w:r>
      <w:r w:rsidRPr="007D21AF">
        <w:rPr>
          <w:rStyle w:val="CharacterStyle3"/>
          <w:spacing w:val="-4"/>
          <w:w w:val="105"/>
          <w:sz w:val="24"/>
          <w:szCs w:val="24"/>
          <w:lang w:val="es-ES" w:eastAsia="es-ES"/>
        </w:rPr>
        <w:t>de Vehículos Taxi.</w:t>
      </w:r>
    </w:p>
    <w:p w:rsidR="002D572E" w:rsidRDefault="002D572E" w:rsidP="002D572E">
      <w:pPr>
        <w:ind w:left="144" w:right="85"/>
      </w:pPr>
    </w:p>
    <w:p w:rsidR="002D572E" w:rsidRDefault="002D572E" w:rsidP="002D572E">
      <w:pPr>
        <w:ind w:left="5" w:firstLine="67"/>
        <w:jc w:val="both"/>
      </w:pPr>
      <w:r>
        <w:rPr>
          <w:rStyle w:val="CharacterStyle4"/>
          <w:sz w:val="25"/>
          <w:szCs w:val="25"/>
          <w:lang w:val="es-ES" w:eastAsia="es-ES"/>
        </w:rPr>
        <w:t xml:space="preserve">II.- De conformidad con el artículo 22, inciso c), de la citada Ley 7969, el presente fallo </w:t>
      </w:r>
      <w:r>
        <w:rPr>
          <w:rStyle w:val="CharacterStyle4"/>
          <w:spacing w:val="13"/>
          <w:sz w:val="25"/>
          <w:szCs w:val="25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>tiene por agotada la vía administrativa</w:t>
      </w:r>
    </w:p>
    <w:p w:rsidR="002D572E" w:rsidRDefault="002D572E" w:rsidP="002D572E">
      <w:pPr>
        <w:ind w:left="5"/>
        <w:jc w:val="both"/>
      </w:pPr>
    </w:p>
    <w:p w:rsidR="002D572E" w:rsidRDefault="002D572E" w:rsidP="002D572E">
      <w:pPr>
        <w:ind w:left="5"/>
        <w:jc w:val="both"/>
      </w:pPr>
      <w:proofErr w:type="gramStart"/>
      <w:r>
        <w:t>NOTIFIQUESE.-</w:t>
      </w:r>
      <w:proofErr w:type="gramEnd"/>
    </w:p>
    <w:p w:rsidR="002D572E" w:rsidRDefault="002D572E" w:rsidP="002D572E">
      <w:pPr>
        <w:ind w:left="5"/>
        <w:jc w:val="both"/>
      </w:pPr>
    </w:p>
    <w:p w:rsidR="002D572E" w:rsidRDefault="002D572E" w:rsidP="002D572E">
      <w:pPr>
        <w:jc w:val="center"/>
        <w:rPr>
          <w:sz w:val="25"/>
          <w:szCs w:val="25"/>
        </w:rPr>
      </w:pPr>
    </w:p>
    <w:p w:rsidR="002D572E" w:rsidRDefault="002D572E" w:rsidP="002D572E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2D572E" w:rsidRDefault="002D572E" w:rsidP="002D572E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D572E" w:rsidRDefault="002D572E" w:rsidP="002D572E">
      <w:pPr>
        <w:rPr>
          <w:sz w:val="26"/>
          <w:szCs w:val="26"/>
        </w:rPr>
      </w:pPr>
    </w:p>
    <w:p w:rsidR="002D572E" w:rsidRDefault="002D572E" w:rsidP="002D572E">
      <w:pPr>
        <w:rPr>
          <w:sz w:val="26"/>
          <w:szCs w:val="26"/>
        </w:rPr>
      </w:pPr>
    </w:p>
    <w:p w:rsidR="002D572E" w:rsidRDefault="002D572E" w:rsidP="002D572E">
      <w:pPr>
        <w:rPr>
          <w:sz w:val="26"/>
          <w:szCs w:val="26"/>
        </w:rPr>
      </w:pPr>
    </w:p>
    <w:p w:rsidR="002D572E" w:rsidRDefault="002D572E" w:rsidP="002D572E">
      <w:pPr>
        <w:rPr>
          <w:sz w:val="26"/>
          <w:szCs w:val="26"/>
        </w:rPr>
      </w:pPr>
    </w:p>
    <w:p w:rsidR="002D572E" w:rsidRDefault="002D572E" w:rsidP="002D572E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2D572E" w:rsidRDefault="002D572E" w:rsidP="002D572E">
      <w:pPr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2D572E" w:rsidRDefault="002D572E" w:rsidP="002D572E">
      <w:pPr>
        <w:pStyle w:val="Style4"/>
        <w:kinsoku w:val="0"/>
        <w:autoSpaceDE/>
        <w:autoSpaceDN/>
        <w:adjustRightInd/>
        <w:spacing w:before="72" w:after="108"/>
        <w:ind w:right="85"/>
        <w:rPr>
          <w:rStyle w:val="CharacterStyle3"/>
          <w:spacing w:val="2"/>
          <w:w w:val="105"/>
          <w:sz w:val="24"/>
          <w:szCs w:val="24"/>
          <w:lang w:val="es-ES" w:eastAsia="es-ES"/>
        </w:rPr>
      </w:pPr>
    </w:p>
    <w:p w:rsidR="00F07A18" w:rsidRDefault="00F07A18"/>
    <w:sectPr w:rsidR="00F07A18" w:rsidSect="007D21AF">
      <w:pgSz w:w="12134" w:h="15840"/>
      <w:pgMar w:top="1701" w:right="1786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C7AD"/>
    <w:multiLevelType w:val="singleLevel"/>
    <w:tmpl w:val="5D722339"/>
    <w:lvl w:ilvl="0">
      <w:start w:val="1"/>
      <w:numFmt w:val="upperRoman"/>
      <w:lvlText w:val="%1.-"/>
      <w:lvlJc w:val="left"/>
      <w:pPr>
        <w:tabs>
          <w:tab w:val="num" w:pos="504"/>
        </w:tabs>
        <w:ind w:left="144" w:hanging="72"/>
      </w:pPr>
      <w:rPr>
        <w:rFonts w:cs="Times New Roman"/>
        <w:snapToGrid/>
        <w:spacing w:val="-8"/>
        <w:w w:val="10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72E"/>
    <w:rsid w:val="002D572E"/>
    <w:rsid w:val="003819BC"/>
    <w:rsid w:val="003D5801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2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D572E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2D572E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4">
    <w:name w:val="Style 4"/>
    <w:basedOn w:val="Normal"/>
    <w:uiPriority w:val="99"/>
    <w:rsid w:val="002D572E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D572E"/>
    <w:rPr>
      <w:sz w:val="24"/>
    </w:rPr>
  </w:style>
  <w:style w:type="character" w:customStyle="1" w:styleId="CharacterStyle3">
    <w:name w:val="Character Style 3"/>
    <w:uiPriority w:val="99"/>
    <w:rsid w:val="002D572E"/>
    <w:rPr>
      <w:sz w:val="20"/>
    </w:rPr>
  </w:style>
  <w:style w:type="character" w:customStyle="1" w:styleId="CharacterStyle4">
    <w:name w:val="Character Style 4"/>
    <w:uiPriority w:val="99"/>
    <w:rsid w:val="002D572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2013-03-08T16:07:00Z</dcterms:created>
  <dcterms:modified xsi:type="dcterms:W3CDTF">2013-03-08T16:08:00Z</dcterms:modified>
</cp:coreProperties>
</file>